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AFC" w:rsidRPr="00F53AF0" w:rsidRDefault="00131AFC" w:rsidP="00131AFC">
      <w:pPr>
        <w:shd w:val="clear" w:color="auto" w:fill="FFFFFF"/>
        <w:spacing w:after="0" w:line="240" w:lineRule="auto"/>
        <w:outlineLvl w:val="2"/>
        <w:rPr>
          <w:rFonts w:ascii="Times New Roman" w:eastAsia="Times New Roman" w:hAnsi="Times New Roman"/>
          <w:b/>
          <w:bCs/>
          <w:color w:val="333333"/>
          <w:sz w:val="32"/>
          <w:szCs w:val="32"/>
          <w:lang w:val="lt-LT" w:eastAsia="de-DE"/>
        </w:rPr>
      </w:pPr>
      <w:r>
        <w:rPr>
          <w:rFonts w:ascii="Times New Roman" w:eastAsia="Times New Roman" w:hAnsi="Times New Roman"/>
          <w:b/>
          <w:bCs/>
          <w:color w:val="333333"/>
          <w:sz w:val="32"/>
          <w:szCs w:val="32"/>
          <w:lang w:val="lt-LT" w:eastAsia="de-DE"/>
        </w:rPr>
        <w:t>Konferencijos</w:t>
      </w:r>
      <w:r w:rsidRPr="00F53AF0">
        <w:rPr>
          <w:rFonts w:ascii="Times New Roman" w:eastAsia="Times New Roman" w:hAnsi="Times New Roman"/>
          <w:b/>
          <w:bCs/>
          <w:color w:val="333333"/>
          <w:sz w:val="32"/>
          <w:szCs w:val="32"/>
          <w:lang w:val="lt-LT" w:eastAsia="de-DE"/>
        </w:rPr>
        <w:t xml:space="preserve"> “Darbų sauga 2010“ - apžvalga </w:t>
      </w:r>
    </w:p>
    <w:p w:rsidR="00131AFC" w:rsidRPr="00F53AF0" w:rsidRDefault="00131AFC" w:rsidP="00131AFC">
      <w:pPr>
        <w:shd w:val="clear" w:color="auto" w:fill="FFFFFF"/>
        <w:spacing w:before="225" w:after="225" w:line="240" w:lineRule="auto"/>
        <w:jc w:val="both"/>
        <w:rPr>
          <w:rFonts w:ascii="Times New Roman" w:eastAsia="Times New Roman" w:hAnsi="Times New Roman"/>
          <w:color w:val="333333"/>
          <w:sz w:val="24"/>
          <w:szCs w:val="24"/>
          <w:lang w:val="lt-LT" w:eastAsia="de-DE"/>
        </w:rPr>
      </w:pPr>
      <w:r>
        <w:rPr>
          <w:rFonts w:ascii="Times New Roman" w:eastAsia="Times New Roman" w:hAnsi="Times New Roman"/>
          <w:noProof/>
          <w:color w:val="333333"/>
          <w:sz w:val="32"/>
          <w:szCs w:val="32"/>
          <w:lang w:val="en-US"/>
        </w:rPr>
        <w:drawing>
          <wp:inline distT="0" distB="0" distL="0" distR="0">
            <wp:extent cx="2863850" cy="1828800"/>
            <wp:effectExtent l="19050" t="0" r="0" b="0"/>
            <wp:docPr id="1" name="Grafik 1" descr="Beschreibung: Beschreibung: konferencij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Beschreibung: Beschreibung: konferencija3"/>
                    <pic:cNvPicPr>
                      <a:picLocks noChangeAspect="1" noChangeArrowheads="1"/>
                    </pic:cNvPicPr>
                  </pic:nvPicPr>
                  <pic:blipFill>
                    <a:blip r:embed="rId4" cstate="print"/>
                    <a:srcRect/>
                    <a:stretch>
                      <a:fillRect/>
                    </a:stretch>
                  </pic:blipFill>
                  <pic:spPr bwMode="auto">
                    <a:xfrm>
                      <a:off x="0" y="0"/>
                      <a:ext cx="2863850" cy="1828800"/>
                    </a:xfrm>
                    <a:prstGeom prst="rect">
                      <a:avLst/>
                    </a:prstGeom>
                    <a:noFill/>
                    <a:ln w="9525">
                      <a:noFill/>
                      <a:miter lim="800000"/>
                      <a:headEnd/>
                      <a:tailEnd/>
                    </a:ln>
                  </pic:spPr>
                </pic:pic>
              </a:graphicData>
            </a:graphic>
          </wp:inline>
        </w:drawing>
      </w:r>
      <w:r w:rsidRPr="00F53AF0">
        <w:rPr>
          <w:rFonts w:ascii="Times New Roman" w:eastAsia="Times New Roman" w:hAnsi="Times New Roman"/>
          <w:color w:val="333333"/>
          <w:sz w:val="24"/>
          <w:szCs w:val="24"/>
          <w:lang w:val="lt-LT" w:eastAsia="de-DE"/>
        </w:rPr>
        <w:t>2010 m. lapkričio 9 dieną Vilniuje vyko 15-oji konferencija „Darbų sauga 2010“. Konferencija skirta įmonių vadovams, įmonių personalo vadovams ir darbų saugos specialistams, tiesiogiai besirūpinantiems saugiomis, ergonomiškomis darbo sąlygomis, nuo kurių priklauso žmonių darbingumas ir darbo kokybė. Konferencijos tikslas – suteikti galimybę darbų saugos specialistams praktikams, teisininkams, valstybinių institucijų atstovams pasidalyti patirtimi, aptarti aktualius darbų saugos bei darbų saugos vadybos klausimus.</w:t>
      </w:r>
    </w:p>
    <w:p w:rsidR="00131AFC" w:rsidRPr="00F53AF0" w:rsidRDefault="00131AFC" w:rsidP="00131AFC">
      <w:pPr>
        <w:shd w:val="clear" w:color="auto" w:fill="FFFFFF"/>
        <w:spacing w:before="225" w:after="225" w:line="240" w:lineRule="auto"/>
        <w:jc w:val="both"/>
        <w:rPr>
          <w:rFonts w:ascii="Times New Roman" w:eastAsia="Times New Roman" w:hAnsi="Times New Roman"/>
          <w:color w:val="333333"/>
          <w:sz w:val="24"/>
          <w:szCs w:val="24"/>
          <w:lang w:val="lt-LT" w:eastAsia="de-DE"/>
        </w:rPr>
      </w:pPr>
      <w:r w:rsidRPr="00F53AF0">
        <w:rPr>
          <w:rFonts w:ascii="Times New Roman" w:eastAsia="Times New Roman" w:hAnsi="Times New Roman"/>
          <w:color w:val="333333"/>
          <w:sz w:val="24"/>
          <w:szCs w:val="24"/>
          <w:lang w:val="lt-LT" w:eastAsia="de-DE"/>
        </w:rPr>
        <w:t>Konferenciją „Darbų sauga 2010“ pradėjo konsultacinės įmonės „Sabelija“ generalinis direktorius Tadas Šatkauskas, pasveikindamas dalyvius ir pristatydamas naująjį ketvirtąjį Gyvybės išsaugojimo darbe amuletą, dedikuotą profesinių ligų prevencijai. Sveikinimo žodį tarė ir LR Seimo narys V. Gapšys, kuris pasidžiaugė, kad konsultacinės firmos „Sabelija“ organizuojama konferencija ne tik dalijasi sukaupta patirtimi, bet ir ieško naujų darbų saugos problemų sprendimo būdų.</w:t>
      </w:r>
    </w:p>
    <w:p w:rsidR="00131AFC" w:rsidRPr="00F53AF0" w:rsidRDefault="00131AFC" w:rsidP="00131AFC">
      <w:pPr>
        <w:shd w:val="clear" w:color="auto" w:fill="FFFFFF"/>
        <w:spacing w:before="225" w:after="225" w:line="240" w:lineRule="auto"/>
        <w:jc w:val="both"/>
        <w:rPr>
          <w:rFonts w:ascii="Times New Roman" w:eastAsia="Times New Roman" w:hAnsi="Times New Roman"/>
          <w:color w:val="333333"/>
          <w:sz w:val="24"/>
          <w:szCs w:val="24"/>
          <w:lang w:val="lt-LT" w:eastAsia="de-DE"/>
        </w:rPr>
      </w:pPr>
      <w:r w:rsidRPr="00F53AF0">
        <w:rPr>
          <w:rFonts w:ascii="Times New Roman" w:eastAsia="Times New Roman" w:hAnsi="Times New Roman"/>
          <w:color w:val="333333"/>
          <w:sz w:val="24"/>
          <w:szCs w:val="24"/>
          <w:lang w:val="lt-LT" w:eastAsia="de-DE"/>
        </w:rPr>
        <w:t>Konferenciją sudarė dvi aktualios temos – darbo teisė  ir civilinė, gaisrinė sauga.</w:t>
      </w:r>
    </w:p>
    <w:p w:rsidR="00131AFC" w:rsidRPr="00F53AF0" w:rsidRDefault="00131AFC" w:rsidP="00131AFC">
      <w:pPr>
        <w:shd w:val="clear" w:color="auto" w:fill="FFFFFF"/>
        <w:spacing w:before="225" w:after="225" w:line="240" w:lineRule="auto"/>
        <w:jc w:val="both"/>
        <w:rPr>
          <w:rFonts w:ascii="Times New Roman" w:eastAsia="Times New Roman" w:hAnsi="Times New Roman"/>
          <w:color w:val="333333"/>
          <w:sz w:val="24"/>
          <w:szCs w:val="24"/>
          <w:lang w:val="lt-LT" w:eastAsia="de-DE"/>
        </w:rPr>
      </w:pPr>
      <w:r w:rsidRPr="00F53AF0">
        <w:rPr>
          <w:rFonts w:ascii="Times New Roman" w:eastAsia="Times New Roman" w:hAnsi="Times New Roman"/>
          <w:color w:val="333333"/>
          <w:sz w:val="24"/>
          <w:szCs w:val="24"/>
          <w:lang w:val="lt-LT" w:eastAsia="de-DE"/>
        </w:rPr>
        <w:t>Pranešimus apie darbo kodekso pakeitimus 2009 – 2010 m. pristatė UAB „Vainutas“ teisininkė I.  Meškauskienė, pabrėždama pagrindinius ir aktualiausius darbo teisės pasikeitimus. Advokatas P. Kazakevičius, iš „VETO LT“ advokatų profesinės bendrijos pateikė darbo ginčų ypatumus 2008 – 2010 m. Lietuvos teismų praktikoje, kur buvo apžvelgta konkreti teismų praktika darbų saugos srityje. O konferencijos pirmąją dalį baigė pranešėjai Skarbaliai, kalbėję apie lyderystės ir tapatumo svarbą įmonėse.</w:t>
      </w:r>
    </w:p>
    <w:p w:rsidR="00131AFC" w:rsidRPr="00F53AF0" w:rsidRDefault="00131AFC" w:rsidP="00131AFC">
      <w:pPr>
        <w:shd w:val="clear" w:color="auto" w:fill="FFFFFF"/>
        <w:spacing w:before="225" w:after="225" w:line="240" w:lineRule="auto"/>
        <w:jc w:val="both"/>
        <w:rPr>
          <w:rFonts w:ascii="Times New Roman" w:eastAsia="Times New Roman" w:hAnsi="Times New Roman"/>
          <w:color w:val="333333"/>
          <w:sz w:val="24"/>
          <w:szCs w:val="24"/>
          <w:lang w:val="lt-LT" w:eastAsia="de-DE"/>
        </w:rPr>
      </w:pPr>
      <w:r w:rsidRPr="00F53AF0">
        <w:rPr>
          <w:rFonts w:ascii="Times New Roman" w:eastAsia="Times New Roman" w:hAnsi="Times New Roman"/>
          <w:color w:val="333333"/>
          <w:sz w:val="24"/>
          <w:szCs w:val="24"/>
          <w:lang w:val="lt-LT" w:eastAsia="de-DE"/>
        </w:rPr>
        <w:t>Antrąją konferencijos dalį pradėjo D. Puikytė, Valstybinės priešgaisrinės saugos ir gelbėjimo departamento Civilinės saugos skyriaus vyriausioji specialistė, kuri apžvelgė naujojo civilinės saugos įstatymo interpretaciją, apžvelgė svarbiausius poįstatyminius aktus.</w:t>
      </w:r>
    </w:p>
    <w:p w:rsidR="00131AFC" w:rsidRPr="00F53AF0" w:rsidRDefault="00131AFC" w:rsidP="00131AFC">
      <w:pPr>
        <w:shd w:val="clear" w:color="auto" w:fill="FFFFFF"/>
        <w:spacing w:before="225" w:after="225" w:line="240" w:lineRule="auto"/>
        <w:jc w:val="both"/>
        <w:rPr>
          <w:rFonts w:ascii="Times New Roman" w:eastAsia="Times New Roman" w:hAnsi="Times New Roman"/>
          <w:color w:val="333333"/>
          <w:sz w:val="24"/>
          <w:szCs w:val="24"/>
          <w:lang w:val="lt-LT" w:eastAsia="de-DE"/>
        </w:rPr>
      </w:pPr>
      <w:r w:rsidRPr="00F53AF0">
        <w:rPr>
          <w:rFonts w:ascii="Times New Roman" w:eastAsia="Times New Roman" w:hAnsi="Times New Roman"/>
          <w:color w:val="333333"/>
          <w:sz w:val="24"/>
          <w:szCs w:val="24"/>
          <w:lang w:val="lt-LT" w:eastAsia="de-DE"/>
        </w:rPr>
        <w:t>Valstybinės priešgaisrinės priežiūros skyriaus vyriausiasis specialistas M. Bielskis apžvelgė 2010 metų gaisrinės saugos pakeitimus. Paskutinis pranešėjas buvo UAB „Sabelijos prekyba“ atstovas T. Vipa</w:t>
      </w:r>
      <w:r>
        <w:rPr>
          <w:rFonts w:ascii="Times New Roman" w:eastAsia="Times New Roman" w:hAnsi="Times New Roman"/>
          <w:color w:val="333333"/>
          <w:sz w:val="24"/>
          <w:szCs w:val="24"/>
          <w:lang w:val="lt-LT" w:eastAsia="de-DE"/>
        </w:rPr>
        <w:t>rtas, kuris pristat</w:t>
      </w:r>
      <w:r w:rsidRPr="00F53AF0">
        <w:rPr>
          <w:rFonts w:ascii="Times New Roman" w:eastAsia="Times New Roman" w:hAnsi="Times New Roman"/>
          <w:color w:val="333333"/>
          <w:sz w:val="24"/>
          <w:szCs w:val="24"/>
          <w:lang w:val="lt-LT" w:eastAsia="de-DE"/>
        </w:rPr>
        <w:t>ė naujausias saugos priemonių tendencijas.</w:t>
      </w:r>
    </w:p>
    <w:p w:rsidR="00131AFC" w:rsidRPr="00F53AF0" w:rsidRDefault="00131AFC" w:rsidP="00131AFC">
      <w:pPr>
        <w:shd w:val="clear" w:color="auto" w:fill="FFFFFF"/>
        <w:spacing w:before="225" w:after="225" w:line="240" w:lineRule="auto"/>
        <w:jc w:val="both"/>
        <w:rPr>
          <w:rFonts w:ascii="Times New Roman" w:eastAsia="Times New Roman" w:hAnsi="Times New Roman"/>
          <w:color w:val="333333"/>
          <w:sz w:val="24"/>
          <w:szCs w:val="24"/>
          <w:lang w:val="lt-LT" w:eastAsia="de-DE"/>
        </w:rPr>
      </w:pPr>
      <w:r w:rsidRPr="00F53AF0">
        <w:rPr>
          <w:rFonts w:ascii="Times New Roman" w:eastAsia="Times New Roman" w:hAnsi="Times New Roman"/>
          <w:color w:val="333333"/>
          <w:sz w:val="24"/>
          <w:szCs w:val="24"/>
          <w:lang w:val="lt-LT" w:eastAsia="de-DE"/>
        </w:rPr>
        <w:t xml:space="preserve">Pabaigoje dalyviai turėjo galimybę įvertinti vykusią konferenciją. Atlikus apklausos anketos analizę nustatyta, kad konferencijos organizavimas ir aplinka įvertinta labai gerai (45 proc. įvertinta puikiai, 29 proc. įvertino labai gerai, 26 proc. – gerai).  Konferencijos pranešėjai įvertinti gerai (10 proc. įvertino puikiai, 35 proc. įvertinti labai gerai ir gerai). </w:t>
      </w:r>
    </w:p>
    <w:p w:rsidR="00131AFC" w:rsidRPr="008A76AB" w:rsidRDefault="00131AFC" w:rsidP="00131AFC">
      <w:pPr>
        <w:shd w:val="clear" w:color="auto" w:fill="FFFFFF"/>
        <w:spacing w:before="225" w:after="225" w:line="240" w:lineRule="auto"/>
        <w:jc w:val="both"/>
        <w:rPr>
          <w:rFonts w:ascii="Arial" w:eastAsia="Times New Roman" w:hAnsi="Arial" w:cs="Arial"/>
          <w:color w:val="333333"/>
          <w:sz w:val="20"/>
          <w:szCs w:val="20"/>
          <w:lang w:val="lt-LT" w:eastAsia="de-DE"/>
        </w:rPr>
      </w:pPr>
      <w:r w:rsidRPr="00F53AF0">
        <w:rPr>
          <w:rFonts w:ascii="Times New Roman" w:eastAsia="Times New Roman" w:hAnsi="Times New Roman"/>
          <w:color w:val="333333"/>
          <w:sz w:val="24"/>
          <w:szCs w:val="24"/>
          <w:lang w:val="lt-LT" w:eastAsia="de-DE"/>
        </w:rPr>
        <w:t>16-liktą „Darbų saugos konferenciją“ numatoma rengti kitais metais.</w:t>
      </w:r>
    </w:p>
    <w:p w:rsidR="00131AFC" w:rsidRPr="00F53AF0" w:rsidRDefault="00131AFC" w:rsidP="00131AFC">
      <w:pPr>
        <w:jc w:val="both"/>
        <w:rPr>
          <w:rFonts w:ascii="Times New Roman" w:hAnsi="Times New Roman"/>
          <w:i/>
          <w:sz w:val="24"/>
          <w:szCs w:val="24"/>
          <w:lang w:val="lt-LT"/>
        </w:rPr>
      </w:pPr>
      <w:r w:rsidRPr="00F53AF0">
        <w:rPr>
          <w:rFonts w:ascii="Times New Roman" w:hAnsi="Times New Roman"/>
          <w:i/>
          <w:sz w:val="24"/>
          <w:szCs w:val="24"/>
          <w:lang w:val="lt-LT"/>
        </w:rPr>
        <w:t xml:space="preserve">Pagal </w:t>
      </w:r>
      <w:hyperlink r:id="rId5" w:history="1">
        <w:r w:rsidRPr="00F53AF0">
          <w:rPr>
            <w:rStyle w:val="Hyperlink"/>
            <w:rFonts w:ascii="Times New Roman" w:hAnsi="Times New Roman"/>
            <w:i/>
            <w:sz w:val="24"/>
            <w:szCs w:val="24"/>
            <w:lang w:val="lt-LT"/>
          </w:rPr>
          <w:t>www.sabelija.lt</w:t>
        </w:r>
      </w:hyperlink>
    </w:p>
    <w:p w:rsidR="008D093C" w:rsidRDefault="008D093C"/>
    <w:sectPr w:rsidR="008D093C" w:rsidSect="00131AFC">
      <w:pgSz w:w="12240" w:h="15840"/>
      <w:pgMar w:top="810"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E0002AEF" w:usb1="C0007841" w:usb2="00000009" w:usb3="00000000" w:csb0="000001FF" w:csb1="00000000"/>
  </w:font>
  <w:font w:name="Tahoma">
    <w:panose1 w:val="020B0604030504040204"/>
    <w:charset w:val="BA"/>
    <w:family w:val="swiss"/>
    <w:pitch w:val="variable"/>
    <w:sig w:usb0="E1002A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31AFC"/>
    <w:rsid w:val="00131AFC"/>
    <w:rsid w:val="008D09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AFC"/>
    <w:rPr>
      <w:rFonts w:ascii="Calibri" w:eastAsia="Calibri" w:hAnsi="Calibri" w:cs="Times New Roman"/>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31AFC"/>
    <w:rPr>
      <w:color w:val="0000FF"/>
      <w:u w:val="single"/>
    </w:rPr>
  </w:style>
  <w:style w:type="paragraph" w:styleId="BalloonText">
    <w:name w:val="Balloon Text"/>
    <w:basedOn w:val="Normal"/>
    <w:link w:val="BalloonTextChar"/>
    <w:uiPriority w:val="99"/>
    <w:semiHidden/>
    <w:unhideWhenUsed/>
    <w:rsid w:val="00131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1AFC"/>
    <w:rPr>
      <w:rFonts w:ascii="Tahoma" w:eastAsia="Calibri" w:hAnsi="Tahoma" w:cs="Tahoma"/>
      <w:sz w:val="16"/>
      <w:szCs w:val="16"/>
      <w:lang w:val="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abelija.lt"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394</Words>
  <Characters>2250</Characters>
  <Application>Microsoft Office Word</Application>
  <DocSecurity>0</DocSecurity>
  <Lines>18</Lines>
  <Paragraphs>5</Paragraphs>
  <ScaleCrop>false</ScaleCrop>
  <Company/>
  <LinksUpToDate>false</LinksUpToDate>
  <CharactersWithSpaces>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 Skripka</dc:creator>
  <cp:lastModifiedBy>Mangirdas Skripka</cp:lastModifiedBy>
  <cp:revision>1</cp:revision>
  <dcterms:created xsi:type="dcterms:W3CDTF">2011-01-02T20:54:00Z</dcterms:created>
  <dcterms:modified xsi:type="dcterms:W3CDTF">2011-01-02T21:02:00Z</dcterms:modified>
</cp:coreProperties>
</file>